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Style w:val="a4"/>
          <w:rFonts w:ascii="Arial" w:hAnsi="Arial" w:cs="Arial"/>
          <w:sz w:val="18"/>
          <w:szCs w:val="18"/>
        </w:rPr>
        <w:fldChar w:fldCharType="begin"/>
      </w:r>
      <w:r>
        <w:rPr>
          <w:rStyle w:val="a4"/>
          <w:rFonts w:ascii="Arial" w:hAnsi="Arial" w:cs="Arial"/>
          <w:sz w:val="18"/>
          <w:szCs w:val="18"/>
        </w:rPr>
        <w:instrText xml:space="preserve"> HYPERLINK "http://content.mail.ru/redirect/53616c7465645f5ffbd43bb33e34220b7e33624af47c8f88596c12804b7b5d0fad4cee2f405aca290320a1170974857f2ecdecd944d86285273a7ea05de85a118b25eda1b7a9efd2/?url=http%253A%252F%252Fmy.consultant.ru%252Fcabinet%252F%253Fmode%253Dstat%253Bclick%253Bd%253D2011-10-03%253Br%253Dfd%253Bs%253Dmail%253Bdst%253Dhttp%25253A%25252F%25252Fwww.consultant.ru%25252Flaw%25252Freview%25252Flink%25252F%25253Fid%25253D1174915" \t "blank" </w:instrText>
      </w:r>
      <w:r>
        <w:rPr>
          <w:rStyle w:val="a4"/>
          <w:rFonts w:ascii="Arial" w:hAnsi="Arial" w:cs="Arial"/>
          <w:sz w:val="18"/>
          <w:szCs w:val="18"/>
        </w:rPr>
        <w:fldChar w:fldCharType="separate"/>
      </w:r>
      <w:r>
        <w:rPr>
          <w:rStyle w:val="a3"/>
          <w:rFonts w:ascii="Arial" w:hAnsi="Arial" w:cs="Arial"/>
          <w:b/>
          <w:bCs/>
          <w:sz w:val="18"/>
          <w:szCs w:val="18"/>
        </w:rPr>
        <w:t>Решение Комиссии Таможенного союза от 23.09.2011 N 797</w:t>
      </w:r>
      <w:r>
        <w:rPr>
          <w:rFonts w:ascii="Arial" w:hAnsi="Arial" w:cs="Arial"/>
          <w:b/>
          <w:bCs/>
          <w:color w:val="0857A6"/>
          <w:sz w:val="18"/>
          <w:szCs w:val="18"/>
          <w:u w:val="single"/>
        </w:rPr>
        <w:br/>
      </w:r>
      <w:r>
        <w:rPr>
          <w:rStyle w:val="a3"/>
          <w:rFonts w:ascii="Arial" w:hAnsi="Arial" w:cs="Arial"/>
          <w:b/>
          <w:bCs/>
          <w:sz w:val="18"/>
          <w:szCs w:val="18"/>
        </w:rPr>
        <w:t>"О принятии технического регламента Таможенного союза "О безопасности продукции, предназначенной для детей и подростков"</w:t>
      </w:r>
      <w:r>
        <w:rPr>
          <w:rStyle w:val="a4"/>
          <w:rFonts w:ascii="Arial" w:hAnsi="Arial" w:cs="Arial"/>
          <w:sz w:val="18"/>
          <w:szCs w:val="18"/>
        </w:rPr>
        <w:fldChar w:fldCharType="end"/>
      </w:r>
    </w:p>
    <w:p w:rsidR="00AA6267" w:rsidRDefault="00AA6267" w:rsidP="00AA6267">
      <w:pPr>
        <w:pStyle w:val="listauthorrevann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 1 июля 2012 года вступает в силу Технический регламент Таможенного союза "О безопасности продукции, предназначенной для детей и подростков" (</w:t>
      </w:r>
      <w:proofErr w:type="gramStart"/>
      <w:r>
        <w:rPr>
          <w:rFonts w:ascii="Arial" w:hAnsi="Arial" w:cs="Arial"/>
          <w:sz w:val="18"/>
          <w:szCs w:val="18"/>
        </w:rPr>
        <w:t>ТР</w:t>
      </w:r>
      <w:proofErr w:type="gramEnd"/>
      <w:r>
        <w:rPr>
          <w:rFonts w:ascii="Arial" w:hAnsi="Arial" w:cs="Arial"/>
          <w:sz w:val="18"/>
          <w:szCs w:val="18"/>
        </w:rPr>
        <w:t xml:space="preserve"> ТС 007/2011)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Также утверждены: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Перечень документов в области стандартизации, в результате применения которых на добровольной основе обеспечивается соблюдение требований указанного Технического регламента;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продукции.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Установлено, что до 15 февраля 2014 года допускается производство и выпуск в обращение продукции в соответствии с обязательными требованиями, ранее установленными нормативно-правовыми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 </w:t>
      </w:r>
      <w:proofErr w:type="gramEnd"/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 или с Решением Комиссии Таможенного союза от 20 сентября 2010 года N 386. Маркировка такой продукции единым знаком обращения продукции на рынке государств - членов Таможенного союза не допускается.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вступления в силу Технического регламента выдача или принятие документов об оценке (подтверждении) соответствия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hyperlink r:id="rId4" w:tgtFrame="blank" w:history="1">
        <w:r>
          <w:rPr>
            <w:rStyle w:val="a3"/>
            <w:rFonts w:ascii="Arial" w:hAnsi="Arial" w:cs="Arial"/>
            <w:b/>
            <w:bCs/>
            <w:sz w:val="18"/>
            <w:szCs w:val="18"/>
          </w:rPr>
          <w:t>Решение Комиссии Таможенного союза от 23.09.2011 N 798</w:t>
        </w:r>
        <w:r>
          <w:rPr>
            <w:rFonts w:ascii="Arial" w:hAnsi="Arial" w:cs="Arial"/>
            <w:b/>
            <w:bCs/>
            <w:color w:val="0857A6"/>
            <w:sz w:val="18"/>
            <w:szCs w:val="18"/>
            <w:u w:val="single"/>
          </w:rPr>
          <w:br/>
        </w:r>
        <w:r>
          <w:rPr>
            <w:rStyle w:val="a3"/>
            <w:rFonts w:ascii="Arial" w:hAnsi="Arial" w:cs="Arial"/>
            <w:b/>
            <w:bCs/>
            <w:sz w:val="18"/>
            <w:szCs w:val="18"/>
          </w:rPr>
          <w:t>"О принятии технического регламента Таможенного союза "О безопасности игрушек"</w:t>
        </w:r>
      </w:hyperlink>
    </w:p>
    <w:p w:rsidR="00AA6267" w:rsidRDefault="00AA6267" w:rsidP="00AA6267">
      <w:pPr>
        <w:pStyle w:val="listauthorrevann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Технический регламент Таможенного союза "О безопасности игрушек" (</w:t>
      </w:r>
      <w:proofErr w:type="gramStart"/>
      <w:r>
        <w:rPr>
          <w:rFonts w:ascii="Arial" w:hAnsi="Arial" w:cs="Arial"/>
          <w:sz w:val="18"/>
          <w:szCs w:val="18"/>
        </w:rPr>
        <w:t>ТР</w:t>
      </w:r>
      <w:proofErr w:type="gramEnd"/>
      <w:r>
        <w:rPr>
          <w:rFonts w:ascii="Arial" w:hAnsi="Arial" w:cs="Arial"/>
          <w:sz w:val="18"/>
          <w:szCs w:val="18"/>
        </w:rPr>
        <w:t xml:space="preserve"> ТС 008/2011) вступает в силу с 1 июля 2012 года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Комиссией Таможенного союза также </w:t>
      </w:r>
      <w:proofErr w:type="gramStart"/>
      <w:r>
        <w:rPr>
          <w:rFonts w:ascii="Arial" w:hAnsi="Arial" w:cs="Arial"/>
          <w:sz w:val="18"/>
          <w:szCs w:val="18"/>
        </w:rPr>
        <w:t>утверждены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Перечень стандартов, в результате применения которых на добровольной основе обеспечивается соблюдение требований указанного Технического регламента;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продукции.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Установлено, что до 15 февраля 2014 года допускается производство и выпуск в обращение продукции в соответствии с обязательными требованиями, ранее установленными нормативно-правовыми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регламента. </w:t>
      </w:r>
      <w:proofErr w:type="gramEnd"/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 или с Решением Комиссии Таможенного союза от 20 сентября 2010 года N 386. Маркировка такой продукции единым знаком обращения продукции на рынке государств - членов Таможенного союза не допускается. </w:t>
      </w:r>
    </w:p>
    <w:p w:rsidR="00AA6267" w:rsidRDefault="00AA6267" w:rsidP="00AA6267">
      <w:pPr>
        <w:pStyle w:val="listautho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 дня вступления в силу Технического регламента выдача или принятие документов об оценке (подтверждении) соответствия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9B230D" w:rsidRDefault="009B230D"/>
    <w:sectPr w:rsidR="009B230D" w:rsidSect="009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67"/>
    <w:rsid w:val="00741C95"/>
    <w:rsid w:val="008046BE"/>
    <w:rsid w:val="009B230D"/>
    <w:rsid w:val="009E224D"/>
    <w:rsid w:val="00AA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267"/>
    <w:rPr>
      <w:color w:val="0857A6"/>
      <w:u w:val="single"/>
    </w:rPr>
  </w:style>
  <w:style w:type="paragraph" w:customStyle="1" w:styleId="listauthor">
    <w:name w:val="listauthor"/>
    <w:basedOn w:val="a"/>
    <w:rsid w:val="00AA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67"/>
    <w:rPr>
      <w:b/>
      <w:bCs/>
    </w:rPr>
  </w:style>
  <w:style w:type="paragraph" w:customStyle="1" w:styleId="listauthorrevann">
    <w:name w:val="listauthor_rev_ann"/>
    <w:basedOn w:val="a"/>
    <w:rsid w:val="00AA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ent.mail.ru/redirect/53616c7465645f5ffbd43bb33e34220b7e33624af47c8f88596c12804b7b5d0fad4cee2f405aca290320a1170974857f2ecdecd944d86285273a7ea05de85a118b25eda1b7a9efd2/?url=http%253A%252F%252Fmy.consultant.ru%252Fcabinet%252F%253Fmode%253Dstat%253Bclick%253Bd%253D2011-10-03%253Br%253Dfd%253Bs%253Dmail%253Bdst%253Dhttp%25253A%25252F%25252Fwww.consultant.ru%25252Flaw%25252Freview%25252Flink%25252F%25253Fid%25253D1174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3964</Characters>
  <Application>Microsoft Office Word</Application>
  <DocSecurity>0</DocSecurity>
  <Lines>33</Lines>
  <Paragraphs>9</Paragraphs>
  <ScaleCrop>false</ScaleCrop>
  <Company>DG Win&amp;Soft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2011-10-03T12:11:00Z</dcterms:created>
  <dcterms:modified xsi:type="dcterms:W3CDTF">2011-10-03T12:13:00Z</dcterms:modified>
</cp:coreProperties>
</file>